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C98599D"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105A655C" w14:textId="77777777" w:rsidR="0046355D" w:rsidRPr="0046355D" w:rsidRDefault="0046355D" w:rsidP="0046355D">
      <w:pPr>
        <w:suppressAutoHyphens/>
        <w:wordWrap w:val="0"/>
        <w:ind w:leftChars="100" w:left="420" w:hangingChars="100" w:hanging="210"/>
        <w:jc w:val="left"/>
        <w:textAlignment w:val="baseline"/>
        <w:rPr>
          <w:rFonts w:ascii="ＭＳ 明朝" w:hAnsi="ＭＳ 明朝" w:cs="ＭＳ 明朝" w:hint="eastAsia"/>
          <w:kern w:val="0"/>
          <w:szCs w:val="21"/>
        </w:rPr>
      </w:pPr>
      <w:r w:rsidRPr="0046355D">
        <w:rPr>
          <w:rFonts w:ascii="ＭＳ 明朝" w:hAnsi="ＭＳ 明朝" w:cs="ＭＳ 明朝" w:hint="eastAsia"/>
          <w:kern w:val="0"/>
          <w:szCs w:val="21"/>
        </w:rPr>
        <w:t>二　ビルメンテナンス、庁舎清掃又は警備の請負契約　その者の申込みに係る価格が予定価格算出の基礎となった次に掲げる額の合算額</w:t>
      </w:r>
    </w:p>
    <w:p w14:paraId="76EF456C" w14:textId="77777777" w:rsidR="0046355D" w:rsidRPr="0046355D" w:rsidRDefault="0046355D" w:rsidP="0046355D">
      <w:pPr>
        <w:suppressAutoHyphens/>
        <w:wordWrap w:val="0"/>
        <w:ind w:leftChars="100" w:left="420" w:hangingChars="100" w:hanging="210"/>
        <w:jc w:val="left"/>
        <w:textAlignment w:val="baseline"/>
        <w:rPr>
          <w:rFonts w:ascii="ＭＳ 明朝" w:hAnsi="ＭＳ 明朝" w:cs="ＭＳ 明朝" w:hint="eastAsia"/>
          <w:kern w:val="0"/>
          <w:szCs w:val="21"/>
        </w:rPr>
      </w:pPr>
      <w:r w:rsidRPr="0046355D">
        <w:rPr>
          <w:rFonts w:ascii="ＭＳ 明朝" w:hAnsi="ＭＳ 明朝" w:cs="ＭＳ 明朝" w:hint="eastAsia"/>
          <w:kern w:val="0"/>
          <w:szCs w:val="21"/>
        </w:rPr>
        <w:t xml:space="preserve">　イ　直接人件費の額</w:t>
      </w:r>
    </w:p>
    <w:p w14:paraId="5447399E" w14:textId="77777777" w:rsidR="0046355D" w:rsidRPr="0046355D" w:rsidRDefault="0046355D" w:rsidP="0046355D">
      <w:pPr>
        <w:suppressAutoHyphens/>
        <w:wordWrap w:val="0"/>
        <w:ind w:leftChars="100" w:left="420" w:hangingChars="100" w:hanging="210"/>
        <w:jc w:val="left"/>
        <w:textAlignment w:val="baseline"/>
        <w:rPr>
          <w:rFonts w:ascii="ＭＳ 明朝" w:hAnsi="ＭＳ 明朝" w:cs="ＭＳ 明朝" w:hint="eastAsia"/>
          <w:kern w:val="0"/>
          <w:szCs w:val="21"/>
        </w:rPr>
      </w:pPr>
      <w:r w:rsidRPr="0046355D">
        <w:rPr>
          <w:rFonts w:ascii="ＭＳ 明朝" w:hAnsi="ＭＳ 明朝" w:cs="ＭＳ 明朝" w:hint="eastAsia"/>
          <w:kern w:val="0"/>
          <w:szCs w:val="21"/>
        </w:rPr>
        <w:t xml:space="preserve">　ロ　直接物品費の額</w:t>
      </w:r>
    </w:p>
    <w:p w14:paraId="4B7A4621" w14:textId="77777777" w:rsidR="0046355D" w:rsidRPr="0046355D" w:rsidRDefault="0046355D" w:rsidP="0046355D">
      <w:pPr>
        <w:suppressAutoHyphens/>
        <w:wordWrap w:val="0"/>
        <w:ind w:leftChars="100" w:left="420" w:hangingChars="100" w:hanging="210"/>
        <w:jc w:val="left"/>
        <w:textAlignment w:val="baseline"/>
        <w:rPr>
          <w:rFonts w:ascii="ＭＳ 明朝" w:hAnsi="ＭＳ 明朝" w:cs="ＭＳ 明朝" w:hint="eastAsia"/>
          <w:kern w:val="0"/>
          <w:szCs w:val="21"/>
        </w:rPr>
      </w:pPr>
      <w:r w:rsidRPr="0046355D">
        <w:rPr>
          <w:rFonts w:ascii="ＭＳ 明朝" w:hAnsi="ＭＳ 明朝" w:cs="ＭＳ 明朝" w:hint="eastAsia"/>
          <w:kern w:val="0"/>
          <w:szCs w:val="21"/>
        </w:rPr>
        <w:t xml:space="preserve">　ハ　業務管理費の額に１０分の３を乗じて得た額</w:t>
      </w:r>
    </w:p>
    <w:p w14:paraId="2CE130C3" w14:textId="77777777" w:rsidR="0046355D" w:rsidRPr="0046355D" w:rsidRDefault="0046355D" w:rsidP="0046355D">
      <w:pPr>
        <w:suppressAutoHyphens/>
        <w:wordWrap w:val="0"/>
        <w:ind w:leftChars="100" w:left="420" w:hangingChars="100" w:hanging="210"/>
        <w:jc w:val="left"/>
        <w:textAlignment w:val="baseline"/>
        <w:rPr>
          <w:rFonts w:ascii="ＭＳ 明朝" w:hAnsi="ＭＳ 明朝" w:cs="ＭＳ 明朝" w:hint="eastAsia"/>
          <w:kern w:val="0"/>
          <w:szCs w:val="21"/>
        </w:rPr>
      </w:pPr>
      <w:r w:rsidRPr="0046355D">
        <w:rPr>
          <w:rFonts w:ascii="ＭＳ 明朝" w:hAnsi="ＭＳ 明朝" w:cs="ＭＳ 明朝" w:hint="eastAsia"/>
          <w:kern w:val="0"/>
          <w:szCs w:val="21"/>
        </w:rPr>
        <w:t xml:space="preserve">　ニ　一般管理費等の額に１０分の３を乗じて得た額</w:t>
      </w:r>
    </w:p>
    <w:p w14:paraId="6BB2A6D0" w14:textId="04406B90" w:rsidR="004D60F9" w:rsidRPr="000B5128" w:rsidRDefault="0046355D" w:rsidP="0046355D">
      <w:pPr>
        <w:suppressAutoHyphens/>
        <w:wordWrap w:val="0"/>
        <w:ind w:leftChars="100" w:left="420" w:hangingChars="100" w:hanging="210"/>
        <w:jc w:val="left"/>
        <w:textAlignment w:val="baseline"/>
        <w:rPr>
          <w:rFonts w:ascii="ＭＳ 明朝" w:hAnsi="ＭＳ 明朝"/>
          <w:kern w:val="0"/>
          <w:szCs w:val="21"/>
        </w:rPr>
      </w:pPr>
      <w:r w:rsidRPr="0046355D">
        <w:rPr>
          <w:rFonts w:ascii="ＭＳ 明朝" w:hAnsi="ＭＳ 明朝" w:cs="ＭＳ 明朝" w:hint="eastAsia"/>
          <w:kern w:val="0"/>
          <w:szCs w:val="21"/>
        </w:rPr>
        <w:t>三　前各号に掲げる請負契約前号以外の請負契約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イ　当該価格により入札した理由、入札価格の内訳書</w:t>
      </w:r>
    </w:p>
    <w:p w14:paraId="16D3C6C1"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ロ　契約対象工事附近における手持工事の状況</w:t>
      </w:r>
    </w:p>
    <w:p w14:paraId="557C98AD"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ハ　契約対象工事に関連する手持工事の状況</w:t>
      </w:r>
    </w:p>
    <w:p w14:paraId="27FA186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ニ　契約対象工事箇所と入札者の事業所、倉庫等との関連（地理的条件）</w:t>
      </w:r>
    </w:p>
    <w:p w14:paraId="40866B40"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ホ　手持資材状況</w:t>
      </w:r>
    </w:p>
    <w:p w14:paraId="7FCD558E"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ヘ　資材購入先及び購入先と入札者との関係</w:t>
      </w:r>
    </w:p>
    <w:p w14:paraId="03582A9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ト　手持機械数の状況</w:t>
      </w:r>
    </w:p>
    <w:p w14:paraId="68669C06"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チ　労務者の具体的供給見通し</w:t>
      </w:r>
    </w:p>
    <w:p w14:paraId="437C82B9"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リ　過去に施工した公共工事名及び発注者</w:t>
      </w:r>
    </w:p>
    <w:p w14:paraId="1AAFC64E"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ヌ　経営状況</w:t>
      </w:r>
    </w:p>
    <w:p w14:paraId="645762AB"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イ　当該価格により入札した理由、必要に応じ、入札価格の内訳書</w:t>
      </w:r>
    </w:p>
    <w:p w14:paraId="1BDD6A97"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ロ　当該契約の履行体制</w:t>
      </w:r>
    </w:p>
    <w:p w14:paraId="184ED24A"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ハ　当該契約期間中における他の契約請負状況</w:t>
      </w:r>
    </w:p>
    <w:p w14:paraId="22E61389"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ニ　手持機械その他の固定資産の状況</w:t>
      </w:r>
    </w:p>
    <w:p w14:paraId="6F884084" w14:textId="77777777" w:rsidR="00FF6B08" w:rsidRPr="00FF6B0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ホ　国及び地方公共団体等における契約の履行状況</w:t>
      </w:r>
    </w:p>
    <w:p w14:paraId="5F79B017" w14:textId="591FE84F" w:rsidR="004D60F9" w:rsidRPr="000B5128" w:rsidRDefault="00FF6B08" w:rsidP="00FF6B08">
      <w:pPr>
        <w:suppressAutoHyphens/>
        <w:wordWrap w:val="0"/>
        <w:jc w:val="left"/>
        <w:textAlignment w:val="baseline"/>
        <w:rPr>
          <w:rFonts w:ascii="ＭＳ 明朝" w:hAnsi="ＭＳ 明朝"/>
          <w:kern w:val="0"/>
          <w:szCs w:val="21"/>
        </w:rPr>
      </w:pPr>
      <w:r w:rsidRPr="00FF6B08">
        <w:rPr>
          <w:rFonts w:ascii="ＭＳ 明朝" w:hAnsi="ＭＳ 明朝" w:hint="eastAsia"/>
          <w:kern w:val="0"/>
          <w:szCs w:val="21"/>
        </w:rPr>
        <w:t xml:space="preserve">　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49C857C3"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）を経済産業省ホームページで公表することに同意する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05E4CB95"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690E9617"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6FA0E62D" w14:textId="77777777" w:rsidR="003770EA" w:rsidRPr="007003B9" w:rsidRDefault="003770EA" w:rsidP="003770EA">
      <w:pPr>
        <w:spacing w:line="269" w:lineRule="exact"/>
        <w:rPr>
          <w:rFonts w:ascii="ＭＳ 明朝" w:hAnsi="ＭＳ 明朝"/>
          <w:lang w:eastAsia="zh-TW"/>
        </w:rPr>
      </w:pPr>
    </w:p>
    <w:p w14:paraId="0AAB5193" w14:textId="77777777" w:rsidR="003770EA" w:rsidRPr="007003B9" w:rsidRDefault="003770EA" w:rsidP="003770EA">
      <w:pPr>
        <w:spacing w:line="269" w:lineRule="exact"/>
        <w:rPr>
          <w:rFonts w:ascii="ＭＳ 明朝" w:hAnsi="ＭＳ 明朝"/>
          <w:lang w:eastAsia="zh-TW"/>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08ADB9C"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5A17C5FD" w14:textId="77777777" w:rsidR="003770EA" w:rsidRPr="00B65269" w:rsidRDefault="003770EA" w:rsidP="003770EA">
      <w:pPr>
        <w:spacing w:line="269" w:lineRule="exact"/>
        <w:rPr>
          <w:rFonts w:ascii="ＭＳ 明朝" w:hAnsi="ＭＳ 明朝"/>
          <w:lang w:eastAsia="zh-TW"/>
        </w:rPr>
      </w:pPr>
    </w:p>
    <w:p w14:paraId="5D135E57" w14:textId="77777777" w:rsidR="003770EA" w:rsidRPr="007003B9" w:rsidRDefault="003770EA" w:rsidP="003770EA">
      <w:pPr>
        <w:spacing w:line="269" w:lineRule="exact"/>
        <w:rPr>
          <w:rFonts w:ascii="ＭＳ 明朝" w:hAnsi="ＭＳ 明朝"/>
          <w:lang w:eastAsia="zh-TW"/>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0BE63C8C"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1AAD90F7" w14:textId="77777777" w:rsidR="003770EA" w:rsidRPr="007003B9" w:rsidRDefault="003770EA" w:rsidP="003770EA">
      <w:pPr>
        <w:spacing w:line="269" w:lineRule="exact"/>
        <w:rPr>
          <w:rFonts w:ascii="ＭＳ 明朝" w:hAnsi="ＭＳ 明朝"/>
          <w:lang w:eastAsia="zh-TW"/>
        </w:rPr>
      </w:pPr>
    </w:p>
    <w:p w14:paraId="0F9F1FDC" w14:textId="77777777" w:rsidR="003770EA" w:rsidRPr="007003B9" w:rsidRDefault="003770EA" w:rsidP="003770EA">
      <w:pPr>
        <w:spacing w:line="269" w:lineRule="exact"/>
        <w:rPr>
          <w:rFonts w:ascii="ＭＳ 明朝" w:hAnsi="ＭＳ 明朝"/>
          <w:lang w:eastAsia="zh-TW"/>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55C2EF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C81FFE3" w14:textId="77777777" w:rsidR="003770EA" w:rsidRPr="007003B9" w:rsidRDefault="003770EA" w:rsidP="003770EA">
      <w:pPr>
        <w:spacing w:line="269" w:lineRule="exact"/>
        <w:rPr>
          <w:rFonts w:ascii="ＭＳ 明朝" w:hAnsi="ＭＳ 明朝"/>
          <w:lang w:eastAsia="zh-TW"/>
        </w:rPr>
      </w:pPr>
    </w:p>
    <w:p w14:paraId="6242789C" w14:textId="77777777" w:rsidR="003770EA" w:rsidRPr="007003B9" w:rsidRDefault="003770EA" w:rsidP="003770EA">
      <w:pPr>
        <w:spacing w:line="269" w:lineRule="exact"/>
        <w:rPr>
          <w:rFonts w:ascii="ＭＳ 明朝" w:hAnsi="ＭＳ 明朝"/>
          <w:lang w:eastAsia="zh-TW"/>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148034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4"/>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4AC291DB" w14:textId="77777777"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25626D4E" w14:textId="3AF2B64E" w:rsidR="00504B38" w:rsidRPr="00754129" w:rsidRDefault="005B0BFE" w:rsidP="00754129">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58253" behindDoc="0" locked="0" layoutInCell="1" allowOverlap="1" wp14:anchorId="05C3640E" wp14:editId="3EC14853">
                <wp:simplePos x="0" y="0"/>
                <wp:positionH relativeFrom="column">
                  <wp:posOffset>4932045</wp:posOffset>
                </wp:positionH>
                <wp:positionV relativeFrom="paragraph">
                  <wp:posOffset>-279400</wp:posOffset>
                </wp:positionV>
                <wp:extent cx="1251585" cy="417195"/>
                <wp:effectExtent l="0" t="0" r="24765"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3640E" id="テキスト ボックス 5" o:spid="_x0000_s1044" type="#_x0000_t202" style="position:absolute;left:0;text-align:left;margin-left:388.35pt;margin-top:-22pt;width:98.55pt;height:32.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v:textbox>
              </v:shape>
            </w:pict>
          </mc:Fallback>
        </mc:AlternateContent>
      </w:r>
      <w:r w:rsidR="00504B38" w:rsidRPr="00754129">
        <w:rPr>
          <w:rFonts w:ascii="ＭＳ 明朝" w:hAnsi="ＭＳ 明朝"/>
          <w:sz w:val="32"/>
        </w:rPr>
        <w:t>従業員への賃金引上げ計画の表明書</w:t>
      </w:r>
    </w:p>
    <w:p w14:paraId="4C080EA5" w14:textId="77777777" w:rsidR="00504B38" w:rsidRPr="00504B38" w:rsidRDefault="00504B38" w:rsidP="00504B38">
      <w:pPr>
        <w:overflowPunct w:val="0"/>
        <w:textAlignment w:val="baseline"/>
        <w:rPr>
          <w:rFonts w:ascii="ＭＳ 明朝" w:hAnsi="ＭＳ 明朝"/>
        </w:rPr>
      </w:pPr>
    </w:p>
    <w:p w14:paraId="6C26AA74" w14:textId="77777777" w:rsidR="00504B38" w:rsidRPr="00504B38" w:rsidRDefault="00504B38" w:rsidP="00504B38">
      <w:pPr>
        <w:overflowPunct w:val="0"/>
        <w:textAlignment w:val="baseline"/>
        <w:rPr>
          <w:rFonts w:ascii="ＭＳ 明朝" w:hAnsi="ＭＳ 明朝"/>
        </w:rPr>
      </w:pPr>
    </w:p>
    <w:p w14:paraId="22660E2B"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sz w:val="24"/>
        </w:rPr>
        <w:t>当社は、</w:t>
      </w:r>
      <w:commentRangeStart w:id="1"/>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1"/>
      <w:r>
        <w:rPr>
          <w:rStyle w:val="aa"/>
        </w:rPr>
        <w:commentReference w:id="1"/>
      </w:r>
      <w:r w:rsidRPr="00754129">
        <w:rPr>
          <w:rFonts w:ascii="ＭＳ 明朝" w:hAnsi="ＭＳ 明朝"/>
          <w:sz w:val="24"/>
        </w:rPr>
        <w:t>において、給与等受給者一人あたりの平均受給額を対前年度（又は対前年）増加率○％以上とすること</w:t>
      </w:r>
    </w:p>
    <w:p w14:paraId="403A3BFF" w14:textId="77777777" w:rsidR="0033075A" w:rsidRPr="00754129" w:rsidRDefault="0033075A" w:rsidP="0033075A">
      <w:pPr>
        <w:overflowPunct w:val="0"/>
        <w:ind w:firstLineChars="100" w:firstLine="240"/>
        <w:textAlignment w:val="baseline"/>
        <w:rPr>
          <w:rFonts w:ascii="ＭＳ 明朝" w:hAnsi="ＭＳ 明朝"/>
          <w:sz w:val="24"/>
        </w:rPr>
      </w:pPr>
      <w:commentRangeStart w:id="2"/>
      <w:r w:rsidRPr="00754129">
        <w:rPr>
          <w:rFonts w:ascii="ＭＳ 明朝" w:hAnsi="ＭＳ 明朝"/>
          <w:sz w:val="24"/>
        </w:rPr>
        <w:t>を表明いたします。</w:t>
      </w:r>
    </w:p>
    <w:p w14:paraId="151C7E34"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2"/>
      <w:r>
        <w:rPr>
          <w:rStyle w:val="aa"/>
        </w:rPr>
        <w:commentReference w:id="2"/>
      </w:r>
    </w:p>
    <w:p w14:paraId="01225F32" w14:textId="77777777" w:rsidR="00504B38" w:rsidRPr="0033075A" w:rsidRDefault="00504B38" w:rsidP="00504B38">
      <w:pPr>
        <w:overflowPunct w:val="0"/>
        <w:textAlignment w:val="baseline"/>
        <w:rPr>
          <w:rFonts w:ascii="ＭＳ 明朝" w:hAnsi="ＭＳ 明朝"/>
          <w:sz w:val="24"/>
        </w:rPr>
      </w:pPr>
    </w:p>
    <w:p w14:paraId="1EAAAD86" w14:textId="77777777" w:rsidR="00504B38" w:rsidRPr="00754129" w:rsidRDefault="00504B38" w:rsidP="00504B38">
      <w:pPr>
        <w:overflowPunct w:val="0"/>
        <w:textAlignment w:val="baseline"/>
        <w:rPr>
          <w:rFonts w:ascii="ＭＳ 明朝" w:hAnsi="ＭＳ 明朝"/>
          <w:sz w:val="24"/>
        </w:rPr>
      </w:pPr>
    </w:p>
    <w:p w14:paraId="14CFB58A"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7F743586"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28365BB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486856DD"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65D933A6" w14:textId="77777777" w:rsidR="00504B38" w:rsidRPr="00754129" w:rsidRDefault="00504B38" w:rsidP="00504B38">
      <w:pPr>
        <w:overflowPunct w:val="0"/>
        <w:textAlignment w:val="baseline"/>
        <w:rPr>
          <w:rFonts w:ascii="ＭＳ 明朝" w:hAnsi="ＭＳ 明朝"/>
          <w:sz w:val="24"/>
        </w:rPr>
      </w:pPr>
    </w:p>
    <w:p w14:paraId="589F5F90" w14:textId="77777777" w:rsidR="00504B38" w:rsidRPr="00754129" w:rsidRDefault="00504B38" w:rsidP="00504B38">
      <w:pPr>
        <w:overflowPunct w:val="0"/>
        <w:textAlignment w:val="baseline"/>
        <w:rPr>
          <w:rFonts w:ascii="ＭＳ 明朝" w:hAnsi="ＭＳ 明朝"/>
          <w:sz w:val="24"/>
        </w:rPr>
      </w:pPr>
    </w:p>
    <w:p w14:paraId="7522059B" w14:textId="77777777" w:rsidR="00504B38" w:rsidRPr="00754129" w:rsidRDefault="00504B38" w:rsidP="00504B38">
      <w:pPr>
        <w:overflowPunct w:val="0"/>
        <w:textAlignment w:val="baseline"/>
        <w:rPr>
          <w:rFonts w:ascii="ＭＳ 明朝" w:hAnsi="ＭＳ 明朝"/>
          <w:sz w:val="24"/>
        </w:rPr>
      </w:pPr>
    </w:p>
    <w:p w14:paraId="353DF389" w14:textId="77777777" w:rsidR="00504B38" w:rsidRPr="00754129" w:rsidRDefault="00504B38" w:rsidP="00504B38">
      <w:pPr>
        <w:overflowPunct w:val="0"/>
        <w:textAlignment w:val="baseline"/>
        <w:rPr>
          <w:rFonts w:ascii="ＭＳ 明朝" w:hAnsi="ＭＳ 明朝"/>
          <w:sz w:val="24"/>
        </w:rPr>
      </w:pPr>
    </w:p>
    <w:p w14:paraId="24B49BB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3FC6D097" w14:textId="77777777" w:rsidR="00504B38" w:rsidRPr="00754129" w:rsidRDefault="00504B38" w:rsidP="00504B38">
      <w:pPr>
        <w:overflowPunct w:val="0"/>
        <w:textAlignment w:val="baseline"/>
        <w:rPr>
          <w:rFonts w:ascii="ＭＳ 明朝" w:hAnsi="ＭＳ 明朝"/>
          <w:sz w:val="24"/>
        </w:rPr>
      </w:pPr>
    </w:p>
    <w:p w14:paraId="493CF62A" w14:textId="77777777" w:rsidR="00504B38" w:rsidRPr="00754129" w:rsidRDefault="00504B38" w:rsidP="00504B38">
      <w:pPr>
        <w:overflowPunct w:val="0"/>
        <w:textAlignment w:val="baseline"/>
        <w:rPr>
          <w:rFonts w:ascii="ＭＳ 明朝" w:hAnsi="ＭＳ 明朝"/>
          <w:sz w:val="24"/>
        </w:rPr>
      </w:pPr>
    </w:p>
    <w:p w14:paraId="42BC83C5"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55180697"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C1A986" w14:textId="77777777" w:rsidR="00504B38" w:rsidRPr="00754129" w:rsidRDefault="00504B38" w:rsidP="00504B38">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419124E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841F76D" w14:textId="77777777" w:rsidR="00504B38" w:rsidRPr="00504B38" w:rsidRDefault="00504B38" w:rsidP="00504B38">
      <w:pPr>
        <w:overflowPunct w:val="0"/>
        <w:textAlignment w:val="baseline"/>
        <w:rPr>
          <w:rFonts w:ascii="ＭＳ 明朝" w:hAnsi="ＭＳ 明朝"/>
        </w:rPr>
      </w:pPr>
    </w:p>
    <w:p w14:paraId="15BE094F" w14:textId="77777777" w:rsidR="00504B38" w:rsidRPr="00504B38" w:rsidRDefault="00504B38" w:rsidP="00504B38">
      <w:pPr>
        <w:overflowPunct w:val="0"/>
        <w:textAlignment w:val="baseline"/>
        <w:rPr>
          <w:rFonts w:ascii="ＭＳ 明朝" w:hAnsi="ＭＳ 明朝"/>
        </w:rPr>
      </w:pPr>
    </w:p>
    <w:p w14:paraId="3677E727" w14:textId="77777777" w:rsidR="00504B38" w:rsidRPr="00504B38" w:rsidRDefault="00504B38" w:rsidP="00504B38">
      <w:pPr>
        <w:overflowPunct w:val="0"/>
        <w:textAlignment w:val="baseline"/>
        <w:rPr>
          <w:rFonts w:ascii="ＭＳ 明朝" w:hAnsi="ＭＳ 明朝"/>
        </w:rPr>
      </w:pPr>
    </w:p>
    <w:p w14:paraId="30EB99A3" w14:textId="77777777" w:rsidR="00504B38" w:rsidRPr="00504B38" w:rsidRDefault="00504B38" w:rsidP="00504B38">
      <w:pPr>
        <w:overflowPunct w:val="0"/>
        <w:textAlignment w:val="baseline"/>
        <w:rPr>
          <w:rFonts w:ascii="ＭＳ 明朝" w:hAnsi="ＭＳ 明朝"/>
        </w:rPr>
      </w:pPr>
    </w:p>
    <w:p w14:paraId="5971CD38" w14:textId="77777777" w:rsidR="00504B38" w:rsidRPr="00504B38" w:rsidRDefault="00504B38" w:rsidP="00504B38">
      <w:pPr>
        <w:overflowPunct w:val="0"/>
        <w:textAlignment w:val="baseline"/>
        <w:rPr>
          <w:rFonts w:ascii="ＭＳ 明朝" w:hAnsi="ＭＳ 明朝"/>
        </w:rPr>
      </w:pPr>
    </w:p>
    <w:p w14:paraId="7DDAB05C" w14:textId="77777777" w:rsidR="00504B38" w:rsidRPr="00504B38" w:rsidRDefault="00504B38" w:rsidP="00504B38">
      <w:pPr>
        <w:overflowPunct w:val="0"/>
        <w:textAlignment w:val="baseline"/>
        <w:rPr>
          <w:rFonts w:ascii="ＭＳ 明朝" w:hAnsi="ＭＳ 明朝"/>
        </w:rPr>
      </w:pPr>
    </w:p>
    <w:p w14:paraId="49ACC384" w14:textId="77777777" w:rsidR="00504B38" w:rsidRPr="00504B38" w:rsidRDefault="00504B38" w:rsidP="00504B38">
      <w:pPr>
        <w:overflowPunct w:val="0"/>
        <w:textAlignment w:val="baseline"/>
        <w:rPr>
          <w:rFonts w:ascii="ＭＳ 明朝" w:hAnsi="ＭＳ 明朝"/>
        </w:rPr>
      </w:pPr>
      <w:r w:rsidRPr="00504B38">
        <w:rPr>
          <w:rFonts w:ascii="ＭＳ 明朝" w:hAnsi="ＭＳ 明朝"/>
        </w:rPr>
        <w:br w:type="page"/>
      </w:r>
    </w:p>
    <w:p w14:paraId="03D56FCE"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2E2EE4F0"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811A06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742973C"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10B0A527"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3BC802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518DB18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43E0AC49" w14:textId="77777777" w:rsidR="00754129" w:rsidRDefault="00754129" w:rsidP="00504B38">
      <w:pPr>
        <w:overflowPunct w:val="0"/>
        <w:textAlignment w:val="baseline"/>
        <w:rPr>
          <w:rFonts w:ascii="ＭＳ 明朝" w:hAnsi="ＭＳ 明朝"/>
          <w:sz w:val="24"/>
        </w:rPr>
        <w:sectPr w:rsidR="00754129" w:rsidSect="00754129">
          <w:headerReference w:type="default" r:id="rId18"/>
          <w:pgSz w:w="11906" w:h="16838" w:code="9"/>
          <w:pgMar w:top="1440" w:right="1077" w:bottom="1440" w:left="1077" w:header="851" w:footer="992" w:gutter="0"/>
          <w:cols w:space="425"/>
          <w:docGrid w:type="lines" w:linePitch="360"/>
        </w:sectPr>
      </w:pPr>
    </w:p>
    <w:p w14:paraId="1D3E4C5B" w14:textId="751EB55A" w:rsidR="00601D97" w:rsidRPr="00504B38" w:rsidRDefault="005B0BFE" w:rsidP="00601D97">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54" behindDoc="0" locked="0" layoutInCell="1" allowOverlap="1" wp14:anchorId="33E23338" wp14:editId="60FA3349">
                <wp:simplePos x="0" y="0"/>
                <wp:positionH relativeFrom="column">
                  <wp:posOffset>5084445</wp:posOffset>
                </wp:positionH>
                <wp:positionV relativeFrom="paragraph">
                  <wp:posOffset>-47625</wp:posOffset>
                </wp:positionV>
                <wp:extent cx="1251585" cy="417195"/>
                <wp:effectExtent l="0" t="0" r="24765"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E23338" id="テキスト ボックス 4" o:spid="_x0000_s1045"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v:textbox>
              </v:shape>
            </w:pict>
          </mc:Fallback>
        </mc:AlternateContent>
      </w:r>
      <w:r w:rsidR="00601D97">
        <w:rPr>
          <w:rFonts w:ascii="ＭＳ 明朝" w:hAnsi="ＭＳ 明朝" w:hint="eastAsia"/>
        </w:rPr>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3"/>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3"/>
      <w:r>
        <w:rPr>
          <w:rStyle w:val="aa"/>
        </w:rPr>
        <w:commentReference w:id="3"/>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4"/>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4"/>
      <w:r>
        <w:rPr>
          <w:rStyle w:val="aa"/>
        </w:rPr>
        <w:commentReference w:id="4"/>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9"/>
          <w:pgSz w:w="11906" w:h="16838" w:code="9"/>
          <w:pgMar w:top="1440" w:right="1077" w:bottom="1440" w:left="1077" w:header="851" w:footer="992" w:gutter="0"/>
          <w:cols w:space="425"/>
          <w:docGrid w:type="lines" w:linePitch="360"/>
        </w:sectPr>
      </w:pPr>
    </w:p>
    <w:p w14:paraId="35638F11" w14:textId="77777777"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総合評価方式の新たな評価項目（賃金引上げ）について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A76F35"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67E502B9" w14:textId="77777777" w:rsidR="00EE4ED8" w:rsidRPr="00A76F35"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2BBDAEAE"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494C14D7"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44897A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692197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77777777"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77777777"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77777777" w:rsidR="00EE4ED8" w:rsidRPr="0038667A" w:rsidRDefault="00EE4ED8" w:rsidP="00C3451B">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95A2A81"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77777777" w:rsidR="00EE4ED8" w:rsidRPr="0038667A" w:rsidRDefault="00EE4ED8" w:rsidP="00C3451B">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775116F6"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58D6A322"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3D3D2FC9"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1D6B012D" w14:textId="77777777" w:rsidR="00EE4ED8" w:rsidRDefault="00EE4ED8" w:rsidP="00EE4ED8">
      <w:pPr>
        <w:ind w:leftChars="1" w:left="283" w:hangingChars="117" w:hanging="281"/>
        <w:rPr>
          <w:rFonts w:ascii="ＭＳ 明朝" w:hAnsi="ＭＳ 明朝"/>
          <w:sz w:val="24"/>
        </w:rPr>
      </w:pPr>
      <w:bookmarkStart w:id="5" w:name="_Hlk106371916"/>
      <w:r>
        <w:rPr>
          <w:rFonts w:ascii="ＭＳ 明朝" w:hAnsi="ＭＳ 明朝" w:hint="eastAsia"/>
          <w:sz w:val="24"/>
        </w:rPr>
        <w:t>・令和4年4月以降の最初の事業年度開始時よりも後の令和４年度中に賃上げを実施した場合は、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Ｑ５　新たな評価項目の対象は「企業」に限定されるのか。独立行政法人や公益法人、国立大学法人、学校法人などの公共性の高い法人も同様に評価するのか。</w:t>
      </w:r>
    </w:p>
    <w:p w14:paraId="5BD991EA" w14:textId="77777777" w:rsidR="006B2F56" w:rsidRDefault="006B2F56" w:rsidP="006B2F56">
      <w:pPr>
        <w:rPr>
          <w:rFonts w:ascii="ＭＳ 明朝" w:hAnsi="ＭＳ 明朝"/>
          <w:sz w:val="24"/>
        </w:rPr>
      </w:pPr>
      <w:r>
        <w:rPr>
          <w:rFonts w:ascii="ＭＳ 明朝" w:hAnsi="ＭＳ 明朝" w:hint="eastAsia"/>
          <w:sz w:val="24"/>
        </w:rPr>
        <w:t>Ａ５　評価の対象となります。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4F51827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0507871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Ａ７　大企業の要件に当たらない者はすべて「中小企業等」に当たります。</w:t>
      </w:r>
    </w:p>
    <w:p w14:paraId="0CD67877" w14:textId="77777777" w:rsidR="006B2F56" w:rsidRDefault="006B2F56" w:rsidP="006B2F56">
      <w:pPr>
        <w:ind w:left="480" w:hangingChars="200" w:hanging="480"/>
        <w:rPr>
          <w:rFonts w:ascii="ＭＳ 明朝" w:hAnsi="ＭＳ 明朝"/>
          <w:sz w:val="24"/>
        </w:rPr>
      </w:pPr>
    </w:p>
    <w:p w14:paraId="1AD8316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w:t>
      </w:r>
      <w:r>
        <w:rPr>
          <w:rFonts w:ascii="ＭＳ 明朝" w:hAnsi="ＭＳ 明朝" w:hint="eastAsia"/>
          <w:sz w:val="24"/>
        </w:rPr>
        <w:lastRenderedPageBreak/>
        <w:t>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77777777" w:rsidR="006B2F56" w:rsidRDefault="006B2F56" w:rsidP="006B2F56">
      <w:pPr>
        <w:rPr>
          <w:rFonts w:ascii="ＭＳ 明朝" w:hAnsi="ＭＳ 明朝"/>
          <w:sz w:val="24"/>
        </w:rPr>
      </w:pPr>
      <w:r>
        <w:rPr>
          <w:rFonts w:ascii="ＭＳ 明朝" w:hAnsi="ＭＳ 明朝" w:hint="eastAsia"/>
          <w:sz w:val="24"/>
        </w:rPr>
        <w:t>Ｑ９　従業員が事業者から賃上げの表明を受ける方法はどのように行うべきか。</w:t>
      </w:r>
    </w:p>
    <w:p w14:paraId="7D36A94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Ａ９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Ｑ10　表明書の「従業員代表」及び「給与又は経理担当者」とはどのような者を想定しているのか。</w:t>
      </w:r>
    </w:p>
    <w:p w14:paraId="759EAC77"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Ａ10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77777777" w:rsidR="006B2F56" w:rsidRDefault="006B2F56" w:rsidP="006B2F56">
      <w:pPr>
        <w:rPr>
          <w:rFonts w:ascii="ＭＳ 明朝" w:hAnsi="ＭＳ 明朝"/>
          <w:sz w:val="24"/>
        </w:rPr>
      </w:pPr>
      <w:r>
        <w:rPr>
          <w:rFonts w:ascii="ＭＳ 明朝" w:hAnsi="ＭＳ 明朝" w:hint="eastAsia"/>
          <w:sz w:val="24"/>
        </w:rPr>
        <w:t>Ｑ11　表明書は任意の様式で代替することは可能か。</w:t>
      </w:r>
    </w:p>
    <w:p w14:paraId="43F880BF" w14:textId="77777777" w:rsidR="006B2F56" w:rsidRDefault="006B2F56" w:rsidP="006B2F56">
      <w:pPr>
        <w:rPr>
          <w:rFonts w:ascii="ＭＳ 明朝" w:hAnsi="ＭＳ 明朝"/>
          <w:sz w:val="24"/>
        </w:rPr>
      </w:pPr>
      <w:r>
        <w:rPr>
          <w:rFonts w:ascii="ＭＳ 明朝" w:hAnsi="ＭＳ 明朝" w:hint="eastAsia"/>
          <w:sz w:val="24"/>
        </w:rPr>
        <w:t>Ａ11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Ｑ12　複数の国の機関等の調達に参加する場合、表明書を都度作成する必要があるのか。</w:t>
      </w:r>
    </w:p>
    <w:p w14:paraId="01B55C9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Ａ12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Ｑ13　表明書において押印を求めているが、どのような趣旨か。また、押印する場合には原本の提出が必要なのか。</w:t>
      </w:r>
    </w:p>
    <w:p w14:paraId="1C0F606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Ａ13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Ｑ14　再委託先や再々委託先といった者も表明書の提出が必要か。</w:t>
      </w:r>
    </w:p>
    <w:p w14:paraId="78E595E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Ａ14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77777777" w:rsidR="006B2F56" w:rsidRDefault="006B2F56" w:rsidP="006B2F56">
      <w:pPr>
        <w:rPr>
          <w:rFonts w:ascii="ＭＳ 明朝" w:hAnsi="ＭＳ 明朝"/>
          <w:sz w:val="24"/>
        </w:rPr>
      </w:pPr>
      <w:r>
        <w:rPr>
          <w:rFonts w:ascii="ＭＳ 明朝" w:hAnsi="ＭＳ 明朝" w:hint="eastAsia"/>
          <w:sz w:val="24"/>
        </w:rPr>
        <w:t>Ｑ15　共同企業体の場合、代表企業のみが賃上げを表明すればよいのか。</w:t>
      </w:r>
    </w:p>
    <w:p w14:paraId="5BB2446E" w14:textId="77777777" w:rsidR="006B2F56" w:rsidRDefault="006B2F56" w:rsidP="006B2F56">
      <w:pPr>
        <w:ind w:left="240" w:hangingChars="100" w:hanging="240"/>
        <w:rPr>
          <w:rFonts w:ascii="ＭＳ 明朝" w:hAnsi="ＭＳ 明朝"/>
          <w:sz w:val="24"/>
        </w:rPr>
      </w:pPr>
      <w:r>
        <w:rPr>
          <w:rFonts w:ascii="ＭＳ 明朝" w:hAnsi="ＭＳ 明朝" w:hint="eastAsia"/>
          <w:sz w:val="24"/>
        </w:rPr>
        <w:t>Ａ15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Ｑ16　「法人事業概況説明書」を作成しない者の場合、何を提出すればよいか。</w:t>
      </w:r>
    </w:p>
    <w:p w14:paraId="2B9DEDE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Ａ16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Ｑ17　賃上げを表明後に合併等により統廃合された場合、賃上げ実績の確認はどのように行うのか。また、減点された場合はどのように取り扱うのか。</w:t>
      </w:r>
    </w:p>
    <w:p w14:paraId="4617B0B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Ａ17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Ｑ18　確認書類である「法人事業概況説明書」及び「給与所得の源泉徴収等の法定調書合計表」等）の提出時期はいつか。</w:t>
      </w:r>
    </w:p>
    <w:p w14:paraId="112B5F7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Ａ18　「法人事業概況説明書」については事業者等の事業年度終了後２ヶ月以内、「給与所得の源泉徴収等の法定調書合計表」においては毎年１月31日までに作成されることとなりますの</w:t>
      </w:r>
      <w:r>
        <w:rPr>
          <w:rFonts w:ascii="ＭＳ 明朝" w:hAnsi="ＭＳ 明朝" w:hint="eastAsia"/>
          <w:sz w:val="24"/>
        </w:rPr>
        <w:lastRenderedPageBreak/>
        <w:t>で、原則として同じ期間内に提出する必要があります。その他の書類については、作成時期を鑑み提出時期が決まることとなります。なお、「法人事業概況説明書」及び「給与所得の源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Ｑ19　税理士等の第三者により認められた書類の提出とはどのような方法により提出するのか。</w:t>
      </w:r>
    </w:p>
    <w:p w14:paraId="00B84C1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Ａ19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77777777" w:rsidR="006B2F56" w:rsidRDefault="006B2F56" w:rsidP="006B2F56">
      <w:pPr>
        <w:rPr>
          <w:rFonts w:ascii="ＭＳ 明朝" w:hAnsi="ＭＳ 明朝"/>
          <w:sz w:val="24"/>
        </w:rPr>
      </w:pPr>
      <w:r>
        <w:rPr>
          <w:rFonts w:ascii="ＭＳ 明朝" w:hAnsi="ＭＳ 明朝" w:hint="eastAsia"/>
          <w:sz w:val="24"/>
        </w:rPr>
        <w:t>Ｑ20　「税理士等又は公認会計士等の第三者」とは、どのような者か。</w:t>
      </w:r>
    </w:p>
    <w:p w14:paraId="51AA26F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Ａ20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3FC427B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Ａ21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Ｑ22　天災地変等やむを得ない事情により表明した賃上げを実行することができなかった者についても、減点をする必要があるのか。</w:t>
      </w:r>
    </w:p>
    <w:p w14:paraId="6F9CBDFA" w14:textId="35614F0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 xml:space="preserve">Ａ22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77777777" w:rsidR="006B2F56" w:rsidRDefault="006B2F56" w:rsidP="006B2F56">
      <w:pPr>
        <w:rPr>
          <w:rFonts w:ascii="ＭＳ 明朝" w:hAnsi="ＭＳ 明朝"/>
          <w:sz w:val="24"/>
        </w:rPr>
      </w:pPr>
      <w:r>
        <w:rPr>
          <w:rFonts w:ascii="ＭＳ 明朝" w:hAnsi="ＭＳ 明朝" w:hint="eastAsia"/>
          <w:sz w:val="24"/>
        </w:rPr>
        <w:t>Ｑ23　共同企業体の減点措置の対象はどのようになるのか。</w:t>
      </w:r>
    </w:p>
    <w:p w14:paraId="3833221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Ａ23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20"/>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22"/>
      <w:headerReference w:type="first" r:id="rId23"/>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4EF260E7"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2" w:author="作成者" w:initials="A">
    <w:p w14:paraId="437C4F2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 w:id="3"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4"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260E7" w15:done="0"/>
  <w15:commentEx w15:paraId="437C4F24" w15:done="0"/>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260E7" w16cid:durableId="25816FB8"/>
  <w16cid:commentId w16cid:paraId="437C4F24" w16cid:durableId="25816FC7"/>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C853" w14:textId="77777777" w:rsidR="00D677D2" w:rsidRDefault="00D677D2" w:rsidP="00283D9B">
      <w:r>
        <w:separator/>
      </w:r>
    </w:p>
  </w:endnote>
  <w:endnote w:type="continuationSeparator" w:id="0">
    <w:p w14:paraId="64C34360" w14:textId="77777777" w:rsidR="00D677D2" w:rsidRDefault="00D677D2" w:rsidP="00283D9B">
      <w:r>
        <w:continuationSeparator/>
      </w:r>
    </w:p>
  </w:endnote>
  <w:endnote w:type="continuationNotice" w:id="1">
    <w:p w14:paraId="4741E586" w14:textId="77777777" w:rsidR="00D677D2" w:rsidRDefault="00D67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1D64" w14:textId="77777777" w:rsidR="00D677D2" w:rsidRDefault="00D677D2" w:rsidP="00283D9B">
      <w:r>
        <w:separator/>
      </w:r>
    </w:p>
  </w:footnote>
  <w:footnote w:type="continuationSeparator" w:id="0">
    <w:p w14:paraId="48D89468" w14:textId="77777777" w:rsidR="00D677D2" w:rsidRDefault="00D677D2" w:rsidP="00283D9B">
      <w:r>
        <w:continuationSeparator/>
      </w:r>
    </w:p>
  </w:footnote>
  <w:footnote w:type="continuationNotice" w:id="1">
    <w:p w14:paraId="2F8574F8" w14:textId="77777777" w:rsidR="00D677D2" w:rsidRDefault="00D677D2"/>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77777777" w:rsidR="00EE4ED8" w:rsidRDefault="00EE4ED8" w:rsidP="00EE4ED8">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4">
    <w:p w14:paraId="7710AA05" w14:textId="77777777" w:rsidR="00EE4ED8" w:rsidRDefault="00EE4ED8" w:rsidP="00EE4ED8">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7238" w14:textId="77777777" w:rsidR="00754129" w:rsidRDefault="00754129">
    <w:pPr>
      <w:pStyle w:val="a4"/>
    </w:pPr>
    <w:r>
      <w:t>（別紙</w:t>
    </w:r>
    <w:r>
      <w:rPr>
        <w:rFonts w:hint="eastAsia"/>
      </w:rPr>
      <w:t>１の１</w:t>
    </w:r>
    <w:r>
      <w:t>）</w:t>
    </w:r>
    <w:r>
      <w:rPr>
        <w:rFonts w:hint="eastAsia"/>
      </w:rPr>
      <w:t xml:space="preserve">　　　　　　　　　　　　　　　　　　　　　　　　　　　　　　　　　　【大企業用】</w:t>
    </w:r>
  </w:p>
  <w:p w14:paraId="02199B26" w14:textId="77777777" w:rsidR="00754129" w:rsidRDefault="007541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56F09645" w:rsidR="00601D97" w:rsidRDefault="00601D9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r w:rsidR="00005515">
      <w:rPr>
        <w:rFonts w:hint="eastAsia"/>
        <w:lang w:eastAsia="zh-TW"/>
      </w:rPr>
      <w:t xml:space="preserve">　【中小企業等用】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2"/>
  </w:num>
  <w:num w:numId="2" w16cid:durableId="18703096">
    <w:abstractNumId w:val="20"/>
  </w:num>
  <w:num w:numId="3" w16cid:durableId="78330460">
    <w:abstractNumId w:val="17"/>
  </w:num>
  <w:num w:numId="4" w16cid:durableId="212889382">
    <w:abstractNumId w:val="9"/>
  </w:num>
  <w:num w:numId="5" w16cid:durableId="465969007">
    <w:abstractNumId w:val="2"/>
  </w:num>
  <w:num w:numId="6" w16cid:durableId="975910487">
    <w:abstractNumId w:val="18"/>
  </w:num>
  <w:num w:numId="7" w16cid:durableId="1104879292">
    <w:abstractNumId w:val="13"/>
  </w:num>
  <w:num w:numId="8" w16cid:durableId="2094087354">
    <w:abstractNumId w:val="10"/>
  </w:num>
  <w:num w:numId="9" w16cid:durableId="199558968">
    <w:abstractNumId w:val="21"/>
  </w:num>
  <w:num w:numId="10" w16cid:durableId="771559211">
    <w:abstractNumId w:val="14"/>
  </w:num>
  <w:num w:numId="11" w16cid:durableId="2060519839">
    <w:abstractNumId w:val="15"/>
  </w:num>
  <w:num w:numId="12" w16cid:durableId="2072266964">
    <w:abstractNumId w:val="5"/>
  </w:num>
  <w:num w:numId="13" w16cid:durableId="418797445">
    <w:abstractNumId w:val="4"/>
  </w:num>
  <w:num w:numId="14" w16cid:durableId="624190152">
    <w:abstractNumId w:val="0"/>
  </w:num>
  <w:num w:numId="15" w16cid:durableId="790901538">
    <w:abstractNumId w:val="11"/>
  </w:num>
  <w:num w:numId="16" w16cid:durableId="993098474">
    <w:abstractNumId w:val="1"/>
  </w:num>
  <w:num w:numId="17" w16cid:durableId="1112016379">
    <w:abstractNumId w:val="22"/>
  </w:num>
  <w:num w:numId="18" w16cid:durableId="642975587">
    <w:abstractNumId w:val="8"/>
  </w:num>
  <w:num w:numId="19" w16cid:durableId="1077899087">
    <w:abstractNumId w:val="16"/>
  </w:num>
  <w:num w:numId="20" w16cid:durableId="1951744361">
    <w:abstractNumId w:val="3"/>
  </w:num>
  <w:num w:numId="21" w16cid:durableId="24602905">
    <w:abstractNumId w:val="19"/>
  </w:num>
  <w:num w:numId="22" w16cid:durableId="1573420009">
    <w:abstractNumId w:val="7"/>
  </w:num>
  <w:num w:numId="23" w16cid:durableId="6083192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4838"/>
    <w:rsid w:val="00057475"/>
    <w:rsid w:val="00081950"/>
    <w:rsid w:val="000839D9"/>
    <w:rsid w:val="00087171"/>
    <w:rsid w:val="00090B27"/>
    <w:rsid w:val="00092BAC"/>
    <w:rsid w:val="00094332"/>
    <w:rsid w:val="000A1FEE"/>
    <w:rsid w:val="000A38B6"/>
    <w:rsid w:val="000B1E97"/>
    <w:rsid w:val="000B446F"/>
    <w:rsid w:val="000B5128"/>
    <w:rsid w:val="000C0710"/>
    <w:rsid w:val="000C4F24"/>
    <w:rsid w:val="000C5A2E"/>
    <w:rsid w:val="000D76B6"/>
    <w:rsid w:val="000E393F"/>
    <w:rsid w:val="000F076D"/>
    <w:rsid w:val="000F5671"/>
    <w:rsid w:val="001035FF"/>
    <w:rsid w:val="00104D95"/>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0731"/>
    <w:rsid w:val="00403877"/>
    <w:rsid w:val="004045B9"/>
    <w:rsid w:val="00406B72"/>
    <w:rsid w:val="0041062A"/>
    <w:rsid w:val="00411C20"/>
    <w:rsid w:val="00417365"/>
    <w:rsid w:val="00420688"/>
    <w:rsid w:val="00420FCD"/>
    <w:rsid w:val="00432325"/>
    <w:rsid w:val="00434E53"/>
    <w:rsid w:val="004473BE"/>
    <w:rsid w:val="00456E2D"/>
    <w:rsid w:val="0046135F"/>
    <w:rsid w:val="0046355D"/>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75AB"/>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518F"/>
    <w:rsid w:val="00775763"/>
    <w:rsid w:val="0077758F"/>
    <w:rsid w:val="00783CF1"/>
    <w:rsid w:val="007863BD"/>
    <w:rsid w:val="007877F6"/>
    <w:rsid w:val="007927D4"/>
    <w:rsid w:val="007A311E"/>
    <w:rsid w:val="007A3F1A"/>
    <w:rsid w:val="007B21C2"/>
    <w:rsid w:val="007B327B"/>
    <w:rsid w:val="007C1746"/>
    <w:rsid w:val="007C32C5"/>
    <w:rsid w:val="007C3EF9"/>
    <w:rsid w:val="007D1C87"/>
    <w:rsid w:val="007D479D"/>
    <w:rsid w:val="007D78D2"/>
    <w:rsid w:val="007E171B"/>
    <w:rsid w:val="007E2948"/>
    <w:rsid w:val="007E38C1"/>
    <w:rsid w:val="007F0CF3"/>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6197"/>
    <w:rsid w:val="008D3FBA"/>
    <w:rsid w:val="008E5488"/>
    <w:rsid w:val="008E759F"/>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C12F5"/>
    <w:rsid w:val="00AC6639"/>
    <w:rsid w:val="00AC7361"/>
    <w:rsid w:val="00AD3DA6"/>
    <w:rsid w:val="00AE2777"/>
    <w:rsid w:val="00AF0CB8"/>
    <w:rsid w:val="00AF2EBD"/>
    <w:rsid w:val="00AF6CA3"/>
    <w:rsid w:val="00AF6ECD"/>
    <w:rsid w:val="00B00AB4"/>
    <w:rsid w:val="00B02C41"/>
    <w:rsid w:val="00B041FE"/>
    <w:rsid w:val="00B149E5"/>
    <w:rsid w:val="00B14E4F"/>
    <w:rsid w:val="00B1550B"/>
    <w:rsid w:val="00B15AC1"/>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677D2"/>
    <w:rsid w:val="00D7074E"/>
    <w:rsid w:val="00D71B52"/>
    <w:rsid w:val="00D73FF4"/>
    <w:rsid w:val="00D804B8"/>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596A"/>
    <w:rsid w:val="00E47744"/>
    <w:rsid w:val="00E5468E"/>
    <w:rsid w:val="00E5690E"/>
    <w:rsid w:val="00E7735F"/>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702D"/>
    <w:rsid w:val="00F60B5B"/>
    <w:rsid w:val="00F72D57"/>
    <w:rsid w:val="00F77791"/>
    <w:rsid w:val="00F77F32"/>
    <w:rsid w:val="00F81B63"/>
    <w:rsid w:val="00F85D0A"/>
    <w:rsid w:val="00F92522"/>
    <w:rsid w:val="00F92759"/>
    <w:rsid w:val="00FB31A6"/>
    <w:rsid w:val="00FB37B2"/>
    <w:rsid w:val="00FB4B1C"/>
    <w:rsid w:val="00FB5669"/>
    <w:rsid w:val="00FC241B"/>
    <w:rsid w:val="00FD09DC"/>
    <w:rsid w:val="00FD317B"/>
    <w:rsid w:val="00FD55F1"/>
    <w:rsid w:val="00FD57BC"/>
    <w:rsid w:val="00FD5814"/>
    <w:rsid w:val="00FF009D"/>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15:docId w15:val="{FA7D9D28-02DA-4B1A-87FF-7EF1E1F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8770-20B4-40EA-B690-BEDA4E1E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E2331-03A1-4892-86C9-09E9CE54E752}">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709B0D93-E76D-44B3-A013-07828D934E49}">
  <ds:schemaRefs>
    <ds:schemaRef ds:uri="http://schemas.microsoft.com/sharepoint/v3/contenttype/forms"/>
  </ds:schemaRefs>
</ds:datastoreItem>
</file>

<file path=customXml/itemProps4.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3632</Words>
  <Characters>20708</Characters>
  <DocSecurity>2</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2026-04-27T07:05:00Z</dcterms:created>
  <dcterms:modified xsi:type="dcterms:W3CDTF">2026-04-27T07:05:00Z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