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8A" w:rsidRPr="00256B2B" w:rsidRDefault="00D80987" w:rsidP="00D80987">
      <w:pPr>
        <w:widowControl/>
        <w:jc w:val="left"/>
        <w:rPr>
          <w:rFonts w:asciiTheme="minorEastAsia" w:hAnsiTheme="minorEastAsia"/>
          <w:sz w:val="28"/>
          <w:szCs w:val="24"/>
          <w:shd w:val="pct15" w:color="auto" w:fill="FFFFFF"/>
        </w:rPr>
      </w:pPr>
      <w:bookmarkStart w:id="0" w:name="_GoBack"/>
      <w:bookmarkEnd w:id="0"/>
      <w:r w:rsidRPr="00256B2B">
        <w:rPr>
          <w:rFonts w:asciiTheme="minorEastAsia" w:hAnsiTheme="minorEastAsia" w:hint="eastAsia"/>
          <w:sz w:val="28"/>
          <w:szCs w:val="24"/>
          <w:shd w:val="pct15" w:color="auto" w:fill="FFFFFF"/>
        </w:rPr>
        <w:t>◆</w:t>
      </w:r>
      <w:r w:rsidR="00856549" w:rsidRPr="00256B2B">
        <w:rPr>
          <w:rFonts w:asciiTheme="minorEastAsia" w:hAnsiTheme="minorEastAsia" w:hint="eastAsia"/>
          <w:sz w:val="28"/>
          <w:szCs w:val="24"/>
          <w:shd w:val="pct15" w:color="auto" w:fill="FFFFFF"/>
        </w:rPr>
        <w:t>指定の要件</w:t>
      </w:r>
      <w:r w:rsidR="00C63AAF" w:rsidRPr="00256B2B">
        <w:rPr>
          <w:rFonts w:asciiTheme="minorEastAsia" w:hAnsiTheme="minorEastAsia" w:hint="eastAsia"/>
          <w:sz w:val="28"/>
          <w:szCs w:val="24"/>
          <w:shd w:val="pct15" w:color="auto" w:fill="FFFFFF"/>
        </w:rPr>
        <w:t>（</w:t>
      </w:r>
      <w:r w:rsidR="00A8498A" w:rsidRPr="00256B2B">
        <w:rPr>
          <w:rFonts w:asciiTheme="minorEastAsia" w:hAnsiTheme="minorEastAsia" w:hint="eastAsia"/>
          <w:sz w:val="28"/>
          <w:szCs w:val="24"/>
          <w:shd w:val="pct15" w:color="auto" w:fill="FFFFFF"/>
        </w:rPr>
        <w:t>産業競争力強化法第21</w:t>
      </w:r>
      <w:r w:rsidR="00C63AAF" w:rsidRPr="00256B2B">
        <w:rPr>
          <w:rFonts w:asciiTheme="minorEastAsia" w:hAnsiTheme="minorEastAsia" w:hint="eastAsia"/>
          <w:sz w:val="28"/>
          <w:szCs w:val="24"/>
          <w:shd w:val="pct15" w:color="auto" w:fill="FFFFFF"/>
        </w:rPr>
        <w:t>条</w:t>
      </w:r>
      <w:r w:rsidR="00856549" w:rsidRPr="00256B2B">
        <w:rPr>
          <w:rFonts w:asciiTheme="minorEastAsia" w:hAnsiTheme="minorEastAsia" w:hint="eastAsia"/>
          <w:sz w:val="28"/>
          <w:szCs w:val="24"/>
          <w:shd w:val="pct15" w:color="auto" w:fill="FFFFFF"/>
        </w:rPr>
        <w:t>19</w:t>
      </w:r>
      <w:r w:rsidR="00C63AAF" w:rsidRPr="00256B2B">
        <w:rPr>
          <w:rFonts w:asciiTheme="minorEastAsia" w:hAnsiTheme="minorEastAsia" w:hint="eastAsia"/>
          <w:sz w:val="28"/>
          <w:szCs w:val="24"/>
          <w:shd w:val="pct15" w:color="auto" w:fill="FFFFFF"/>
        </w:rPr>
        <w:t>）</w:t>
      </w:r>
    </w:p>
    <w:p w:rsidR="00856549" w:rsidRPr="00856549" w:rsidRDefault="00856549" w:rsidP="00856549">
      <w:pPr>
        <w:suppressAutoHyphens/>
        <w:kinsoku w:val="0"/>
        <w:wordWrap w:val="0"/>
        <w:overflowPunct w:val="0"/>
        <w:autoSpaceDE w:val="0"/>
        <w:autoSpaceDN w:val="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（指定金融機関の指定）</w:t>
      </w:r>
    </w:p>
    <w:p w:rsidR="00856549" w:rsidRDefault="00856549" w:rsidP="00856549">
      <w:pPr>
        <w:suppressAutoHyphens/>
        <w:kinsoku w:val="0"/>
        <w:wordWrap w:val="0"/>
        <w:overflowPunct w:val="0"/>
        <w:autoSpaceDE w:val="0"/>
        <w:autoSpaceDN w:val="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 xml:space="preserve">第二十一条の十九　</w:t>
      </w:r>
    </w:p>
    <w:p w:rsidR="00856549" w:rsidRPr="00856549" w:rsidRDefault="00856549" w:rsidP="00856549">
      <w:pPr>
        <w:suppressAutoHyphens/>
        <w:kinsoku w:val="0"/>
        <w:wordWrap w:val="0"/>
        <w:overflowPunct w:val="0"/>
        <w:autoSpaceDE w:val="0"/>
        <w:autoSpaceDN w:val="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主務大臣は、主務省令で定めるところにより、認定事業適応事業者が認定事業適応関連措置を行うのに必要な資金を貸し付ける業務のうち、当該貸付けに必要な資金について公庫から貸付けを受け、又は利子補給金の支給を受けて行おうとするもの（以下「事業適応促進業務」という。）に関し、次の各号のいずれにも適合すると認められる者を、その申請により、指定金融機関として指定することができる。</w:t>
      </w:r>
    </w:p>
    <w:p w:rsidR="00856549" w:rsidRPr="00856549" w:rsidRDefault="00856549" w:rsidP="004E1299">
      <w:pPr>
        <w:suppressAutoHyphens/>
        <w:kinsoku w:val="0"/>
        <w:wordWrap w:val="0"/>
        <w:overflowPunct w:val="0"/>
        <w:autoSpaceDE w:val="0"/>
        <w:autoSpaceDN w:val="0"/>
        <w:ind w:firstLineChars="100" w:firstLine="24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一　銀行その他の政令で定める金融機関であること。</w:t>
      </w:r>
    </w:p>
    <w:p w:rsidR="00856549" w:rsidRPr="00856549" w:rsidRDefault="00856549" w:rsidP="004E1299">
      <w:pPr>
        <w:suppressAutoHyphens/>
        <w:kinsoku w:val="0"/>
        <w:wordWrap w:val="0"/>
        <w:overflowPunct w:val="0"/>
        <w:autoSpaceDE w:val="0"/>
        <w:autoSpaceDN w:val="0"/>
        <w:ind w:leftChars="100" w:left="21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二　次項に規定する業務規程が、法令並びに実施指針及び事業適応促進円滑化業務実施方針に適合し、かつ、事業適応促進業務を適正かつ確実に実施するために十分なものであること。</w:t>
      </w:r>
    </w:p>
    <w:p w:rsidR="00856549" w:rsidRPr="00856549" w:rsidRDefault="00856549" w:rsidP="004E1299">
      <w:pPr>
        <w:suppressAutoHyphens/>
        <w:kinsoku w:val="0"/>
        <w:wordWrap w:val="0"/>
        <w:overflowPunct w:val="0"/>
        <w:autoSpaceDE w:val="0"/>
        <w:autoSpaceDN w:val="0"/>
        <w:ind w:leftChars="100" w:left="21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三　人的構成に照らして、事業適応促進業務を適正かつ確実に実施することができる知識及び経験を有していること。</w:t>
      </w:r>
    </w:p>
    <w:p w:rsidR="00856549" w:rsidRPr="00856549" w:rsidRDefault="00856549" w:rsidP="00856549">
      <w:pPr>
        <w:suppressAutoHyphens/>
        <w:kinsoku w:val="0"/>
        <w:wordWrap w:val="0"/>
        <w:overflowPunct w:val="0"/>
        <w:autoSpaceDE w:val="0"/>
        <w:autoSpaceDN w:val="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２　前項の規定による指定を受けようとする者は、主務省令で定める手続に従い、実施指針及び事業適応促進円滑化業務実施方針に則して事業適応促進業務に関する規程（次項及び第二十一条の二十一において「業務規程」という。）を定め、これを申請書に添えて、主務大臣に提出しなければならない。</w:t>
      </w:r>
    </w:p>
    <w:p w:rsidR="00856549" w:rsidRPr="00856549" w:rsidRDefault="00856549" w:rsidP="00856549">
      <w:pPr>
        <w:suppressAutoHyphens/>
        <w:kinsoku w:val="0"/>
        <w:wordWrap w:val="0"/>
        <w:overflowPunct w:val="0"/>
        <w:autoSpaceDE w:val="0"/>
        <w:autoSpaceDN w:val="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３　業務規程には、事業適応促進業務の実施体制及び実施方法に関する事項その他の主務省令で定める事項を定めなければならない。</w:t>
      </w:r>
    </w:p>
    <w:p w:rsidR="00856549" w:rsidRPr="00856549" w:rsidRDefault="00856549" w:rsidP="00856549">
      <w:pPr>
        <w:suppressAutoHyphens/>
        <w:kinsoku w:val="0"/>
        <w:wordWrap w:val="0"/>
        <w:overflowPunct w:val="0"/>
        <w:autoSpaceDE w:val="0"/>
        <w:autoSpaceDN w:val="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４　次の各号のいずれかに該当する者は、第一項の規定による指定を受けることができない。</w:t>
      </w:r>
    </w:p>
    <w:p w:rsidR="00856549" w:rsidRPr="00856549" w:rsidRDefault="00856549" w:rsidP="004E1299">
      <w:pPr>
        <w:suppressAutoHyphens/>
        <w:kinsoku w:val="0"/>
        <w:wordWrap w:val="0"/>
        <w:overflowPunct w:val="0"/>
        <w:autoSpaceDE w:val="0"/>
        <w:autoSpaceDN w:val="0"/>
        <w:ind w:leftChars="100" w:left="21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856549" w:rsidRPr="00856549" w:rsidRDefault="00856549" w:rsidP="004E1299">
      <w:pPr>
        <w:suppressAutoHyphens/>
        <w:kinsoku w:val="0"/>
        <w:wordWrap w:val="0"/>
        <w:overflowPunct w:val="0"/>
        <w:autoSpaceDE w:val="0"/>
        <w:autoSpaceDN w:val="0"/>
        <w:ind w:leftChars="100" w:left="21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二　第二十一条の二十六第一項又は第二項の規定により指定を取り消され、その取消しの日から起算して五年を経過しない者</w:t>
      </w:r>
    </w:p>
    <w:p w:rsidR="00856549" w:rsidRPr="00856549" w:rsidRDefault="00856549" w:rsidP="004E1299">
      <w:pPr>
        <w:suppressAutoHyphens/>
        <w:kinsoku w:val="0"/>
        <w:wordWrap w:val="0"/>
        <w:overflowPunct w:val="0"/>
        <w:autoSpaceDE w:val="0"/>
        <w:autoSpaceDN w:val="0"/>
        <w:ind w:firstLineChars="100" w:firstLine="24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三　法人であって、その業務を行う役員のうちに、次のいずれかに該当する者がある者</w:t>
      </w:r>
    </w:p>
    <w:p w:rsidR="00856549" w:rsidRPr="00856549" w:rsidRDefault="00856549" w:rsidP="004E1299">
      <w:pPr>
        <w:suppressAutoHyphens/>
        <w:kinsoku w:val="0"/>
        <w:wordWrap w:val="0"/>
        <w:overflowPunct w:val="0"/>
        <w:autoSpaceDE w:val="0"/>
        <w:autoSpaceDN w:val="0"/>
        <w:ind w:leftChars="200" w:left="420"/>
        <w:textAlignment w:val="center"/>
        <w:rPr>
          <w:rFonts w:ascii="ＭＳ 明朝" w:eastAsia="ＭＳ 明朝" w:hAnsi="ＭＳ 明朝" w:cs="ＭＳ 明朝"/>
          <w:color w:val="000000"/>
          <w:kern w:val="0"/>
          <w:sz w:val="24"/>
          <w:szCs w:val="23"/>
        </w:rPr>
      </w:pPr>
      <w:r w:rsidRPr="00856549">
        <w:rPr>
          <w:rFonts w:ascii="ＭＳ 明朝" w:eastAsia="ＭＳ 明朝" w:hAnsi="ＭＳ 明朝" w:cs="ＭＳ 明朝" w:hint="eastAsia"/>
          <w:color w:val="000000"/>
          <w:kern w:val="0"/>
          <w:sz w:val="24"/>
          <w:szCs w:val="23"/>
        </w:rPr>
        <w:t>イ　心身の故障のため職務を適正に執行することができない者として主務省令で定める者又は破産手続開始の決定を受けて復権を得ない者</w:t>
      </w:r>
    </w:p>
    <w:p w:rsidR="00A323D2" w:rsidRPr="00A8498A" w:rsidRDefault="00856549" w:rsidP="004E1299">
      <w:pPr>
        <w:suppressAutoHyphens/>
        <w:kinsoku w:val="0"/>
        <w:wordWrap w:val="0"/>
        <w:overflowPunct w:val="0"/>
        <w:autoSpaceDE w:val="0"/>
        <w:autoSpaceDN w:val="0"/>
        <w:ind w:leftChars="200" w:left="420"/>
        <w:textAlignment w:val="center"/>
        <w:rPr>
          <w:rFonts w:asciiTheme="minorEastAsia" w:hAnsiTheme="minorEastAsia"/>
          <w:sz w:val="28"/>
          <w:szCs w:val="24"/>
        </w:rPr>
      </w:pPr>
      <w:r w:rsidRPr="00856549">
        <w:rPr>
          <w:rFonts w:ascii="ＭＳ 明朝" w:eastAsia="ＭＳ 明朝" w:hAnsi="ＭＳ 明朝" w:cs="ＭＳ 明朝" w:hint="eastAsia"/>
          <w:color w:val="000000"/>
          <w:kern w:val="0"/>
          <w:sz w:val="24"/>
          <w:szCs w:val="23"/>
        </w:rPr>
        <w:t>ロ　指定金融機関が第二十一条の二十六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sectPr w:rsidR="00A323D2" w:rsidRPr="00A8498A"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76" w:rsidRDefault="00EB5676" w:rsidP="003C0825">
      <w:r>
        <w:separator/>
      </w:r>
    </w:p>
  </w:endnote>
  <w:endnote w:type="continuationSeparator" w:id="0">
    <w:p w:rsidR="00EB5676" w:rsidRDefault="00EB567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76" w:rsidRDefault="00EB5676" w:rsidP="003C0825">
      <w:r>
        <w:separator/>
      </w:r>
    </w:p>
  </w:footnote>
  <w:footnote w:type="continuationSeparator" w:id="0">
    <w:p w:rsidR="00EB5676" w:rsidRDefault="00EB567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76" w:rsidRPr="005B2C63" w:rsidRDefault="00EB5676"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86B74"/>
    <w:multiLevelType w:val="hybridMultilevel"/>
    <w:tmpl w:val="27AAFDEA"/>
    <w:lvl w:ilvl="0" w:tplc="7C9CF73A">
      <w:start w:val="1"/>
      <w:numFmt w:val="bullet"/>
      <w:lvlText w:val=""/>
      <w:lvlJc w:val="left"/>
      <w:pPr>
        <w:tabs>
          <w:tab w:val="num" w:pos="720"/>
        </w:tabs>
        <w:ind w:left="720" w:hanging="360"/>
      </w:pPr>
      <w:rPr>
        <w:rFonts w:ascii="Wingdings" w:hAnsi="Wingdings" w:hint="default"/>
      </w:rPr>
    </w:lvl>
    <w:lvl w:ilvl="1" w:tplc="F9C46138" w:tentative="1">
      <w:start w:val="1"/>
      <w:numFmt w:val="bullet"/>
      <w:lvlText w:val=""/>
      <w:lvlJc w:val="left"/>
      <w:pPr>
        <w:tabs>
          <w:tab w:val="num" w:pos="1440"/>
        </w:tabs>
        <w:ind w:left="1440" w:hanging="360"/>
      </w:pPr>
      <w:rPr>
        <w:rFonts w:ascii="Wingdings" w:hAnsi="Wingdings" w:hint="default"/>
      </w:rPr>
    </w:lvl>
    <w:lvl w:ilvl="2" w:tplc="1E5031CA" w:tentative="1">
      <w:start w:val="1"/>
      <w:numFmt w:val="bullet"/>
      <w:lvlText w:val=""/>
      <w:lvlJc w:val="left"/>
      <w:pPr>
        <w:tabs>
          <w:tab w:val="num" w:pos="2160"/>
        </w:tabs>
        <w:ind w:left="2160" w:hanging="360"/>
      </w:pPr>
      <w:rPr>
        <w:rFonts w:ascii="Wingdings" w:hAnsi="Wingdings" w:hint="default"/>
      </w:rPr>
    </w:lvl>
    <w:lvl w:ilvl="3" w:tplc="99700CF6" w:tentative="1">
      <w:start w:val="1"/>
      <w:numFmt w:val="bullet"/>
      <w:lvlText w:val=""/>
      <w:lvlJc w:val="left"/>
      <w:pPr>
        <w:tabs>
          <w:tab w:val="num" w:pos="2880"/>
        </w:tabs>
        <w:ind w:left="2880" w:hanging="360"/>
      </w:pPr>
      <w:rPr>
        <w:rFonts w:ascii="Wingdings" w:hAnsi="Wingdings" w:hint="default"/>
      </w:rPr>
    </w:lvl>
    <w:lvl w:ilvl="4" w:tplc="8C20100A" w:tentative="1">
      <w:start w:val="1"/>
      <w:numFmt w:val="bullet"/>
      <w:lvlText w:val=""/>
      <w:lvlJc w:val="left"/>
      <w:pPr>
        <w:tabs>
          <w:tab w:val="num" w:pos="3600"/>
        </w:tabs>
        <w:ind w:left="3600" w:hanging="360"/>
      </w:pPr>
      <w:rPr>
        <w:rFonts w:ascii="Wingdings" w:hAnsi="Wingdings" w:hint="default"/>
      </w:rPr>
    </w:lvl>
    <w:lvl w:ilvl="5" w:tplc="AE6847EC" w:tentative="1">
      <w:start w:val="1"/>
      <w:numFmt w:val="bullet"/>
      <w:lvlText w:val=""/>
      <w:lvlJc w:val="left"/>
      <w:pPr>
        <w:tabs>
          <w:tab w:val="num" w:pos="4320"/>
        </w:tabs>
        <w:ind w:left="4320" w:hanging="360"/>
      </w:pPr>
      <w:rPr>
        <w:rFonts w:ascii="Wingdings" w:hAnsi="Wingdings" w:hint="default"/>
      </w:rPr>
    </w:lvl>
    <w:lvl w:ilvl="6" w:tplc="BF28F94A" w:tentative="1">
      <w:start w:val="1"/>
      <w:numFmt w:val="bullet"/>
      <w:lvlText w:val=""/>
      <w:lvlJc w:val="left"/>
      <w:pPr>
        <w:tabs>
          <w:tab w:val="num" w:pos="5040"/>
        </w:tabs>
        <w:ind w:left="5040" w:hanging="360"/>
      </w:pPr>
      <w:rPr>
        <w:rFonts w:ascii="Wingdings" w:hAnsi="Wingdings" w:hint="default"/>
      </w:rPr>
    </w:lvl>
    <w:lvl w:ilvl="7" w:tplc="17E2B17C" w:tentative="1">
      <w:start w:val="1"/>
      <w:numFmt w:val="bullet"/>
      <w:lvlText w:val=""/>
      <w:lvlJc w:val="left"/>
      <w:pPr>
        <w:tabs>
          <w:tab w:val="num" w:pos="5760"/>
        </w:tabs>
        <w:ind w:left="5760" w:hanging="360"/>
      </w:pPr>
      <w:rPr>
        <w:rFonts w:ascii="Wingdings" w:hAnsi="Wingdings" w:hint="default"/>
      </w:rPr>
    </w:lvl>
    <w:lvl w:ilvl="8" w:tplc="68F8844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87"/>
    <w:rsid w:val="000714D7"/>
    <w:rsid w:val="000800FA"/>
    <w:rsid w:val="000E4BEF"/>
    <w:rsid w:val="00110596"/>
    <w:rsid w:val="00117FBB"/>
    <w:rsid w:val="00120AD4"/>
    <w:rsid w:val="0012704F"/>
    <w:rsid w:val="001270B0"/>
    <w:rsid w:val="00133649"/>
    <w:rsid w:val="00166E5F"/>
    <w:rsid w:val="001950D4"/>
    <w:rsid w:val="001F229C"/>
    <w:rsid w:val="00234E6F"/>
    <w:rsid w:val="00256B2B"/>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4E1299"/>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56549"/>
    <w:rsid w:val="008B6018"/>
    <w:rsid w:val="008C73D1"/>
    <w:rsid w:val="008F3AC7"/>
    <w:rsid w:val="00933F69"/>
    <w:rsid w:val="00981B64"/>
    <w:rsid w:val="009F084A"/>
    <w:rsid w:val="009F1401"/>
    <w:rsid w:val="009F48A5"/>
    <w:rsid w:val="00A10268"/>
    <w:rsid w:val="00A323D2"/>
    <w:rsid w:val="00A8498A"/>
    <w:rsid w:val="00A93509"/>
    <w:rsid w:val="00AB4FCA"/>
    <w:rsid w:val="00BB08AD"/>
    <w:rsid w:val="00C030AE"/>
    <w:rsid w:val="00C11B59"/>
    <w:rsid w:val="00C260B1"/>
    <w:rsid w:val="00C36AE3"/>
    <w:rsid w:val="00C63AAF"/>
    <w:rsid w:val="00C9072D"/>
    <w:rsid w:val="00C921D2"/>
    <w:rsid w:val="00CE6391"/>
    <w:rsid w:val="00D6135F"/>
    <w:rsid w:val="00D613E7"/>
    <w:rsid w:val="00D80987"/>
    <w:rsid w:val="00D97A3E"/>
    <w:rsid w:val="00DB1A89"/>
    <w:rsid w:val="00DC69D8"/>
    <w:rsid w:val="00E12D42"/>
    <w:rsid w:val="00E30B32"/>
    <w:rsid w:val="00E36A14"/>
    <w:rsid w:val="00E5409C"/>
    <w:rsid w:val="00E97491"/>
    <w:rsid w:val="00EB5676"/>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F6E3E9B-E181-4767-8531-FB3BC97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80987"/>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34368094">
      <w:bodyDiv w:val="1"/>
      <w:marLeft w:val="0"/>
      <w:marRight w:val="0"/>
      <w:marTop w:val="0"/>
      <w:marBottom w:val="0"/>
      <w:divBdr>
        <w:top w:val="none" w:sz="0" w:space="0" w:color="auto"/>
        <w:left w:val="none" w:sz="0" w:space="0" w:color="auto"/>
        <w:bottom w:val="none" w:sz="0" w:space="0" w:color="auto"/>
        <w:right w:val="none" w:sz="0" w:space="0" w:color="auto"/>
      </w:divBdr>
      <w:divsChild>
        <w:div w:id="1099135861">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138C-4B76-4D44-B533-717E572A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5</cp:revision>
  <cp:lastPrinted>2020-01-21T08:24:00Z</cp:lastPrinted>
  <dcterms:created xsi:type="dcterms:W3CDTF">2021-08-05T04:01:00Z</dcterms:created>
  <dcterms:modified xsi:type="dcterms:W3CDTF">2021-09-16T07:48:00Z</dcterms:modified>
</cp:coreProperties>
</file>