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様式第１３の５</w:t>
      </w:r>
    </w:p>
    <w:p w:rsidR="00CB3623" w:rsidRPr="00565A5C" w:rsidRDefault="00CB3623" w:rsidP="00CB3623">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ポリ塩化ビフェニル含有電気工作物の絶縁油漏洩に係る事故届出書</w:t>
      </w:r>
    </w:p>
    <w:p w:rsidR="00CB3623" w:rsidRPr="00565A5C" w:rsidRDefault="00CB3623" w:rsidP="00CB3623">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殿</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住 所 〒</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 名(法人にあ</w:t>
      </w:r>
      <w:r w:rsidR="00BD5644" w:rsidRPr="00565A5C">
        <w:rPr>
          <w:rFonts w:asciiTheme="minorEastAsia" w:eastAsiaTheme="minorEastAsia" w:hAnsiTheme="minorEastAsia" w:cs="Times New Roman" w:hint="eastAsia"/>
          <w:szCs w:val="24"/>
        </w:rPr>
        <w:t>つ</w:t>
      </w:r>
      <w:r w:rsidRPr="00565A5C">
        <w:rPr>
          <w:rFonts w:asciiTheme="minorEastAsia" w:eastAsiaTheme="minorEastAsia" w:hAnsiTheme="minorEastAsia" w:cs="Times New Roman" w:hint="eastAsia"/>
          <w:szCs w:val="24"/>
        </w:rPr>
        <w:t>ては名称及び代表者の氏名)</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ind w:firstLineChars="100" w:firstLine="24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電気関係報告規則第４条の２第１項の表第４号の規定に基づき、ポリ塩化ビフェニル含有電気工作物の絶縁油漏洩に係る事故について届け出ます。</w:t>
      </w:r>
    </w:p>
    <w:p w:rsidR="00CB3623" w:rsidRPr="00565A5C" w:rsidRDefault="00CB3623" w:rsidP="00CB3623">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7C3825">
        <w:tc>
          <w:tcPr>
            <w:tcW w:w="2127" w:type="dxa"/>
            <w:tcBorders>
              <w:top w:val="single" w:sz="18" w:space="0" w:color="auto"/>
              <w:left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945" w:type="dxa"/>
            <w:tcBorders>
              <w:top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tc>
      </w:tr>
      <w:tr w:rsidR="00565A5C" w:rsidRPr="00565A5C" w:rsidTr="007C3825">
        <w:tc>
          <w:tcPr>
            <w:tcW w:w="2127" w:type="dxa"/>
            <w:tcBorders>
              <w:left w:val="single" w:sz="18" w:space="0" w:color="auto"/>
              <w:bottom w:val="single" w:sz="4"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945" w:type="dxa"/>
            <w:tcBorders>
              <w:bottom w:val="single" w:sz="4"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450275" w:rsidRPr="00565A5C" w:rsidTr="007C3825">
        <w:tc>
          <w:tcPr>
            <w:tcW w:w="2127" w:type="dxa"/>
            <w:tcBorders>
              <w:left w:val="single" w:sz="18" w:space="0" w:color="auto"/>
              <w:bottom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945" w:type="dxa"/>
            <w:tcBorders>
              <w:bottom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450275" w:rsidRPr="00565A5C" w:rsidRDefault="00450275" w:rsidP="00450275">
      <w:pPr>
        <w:rPr>
          <w:rFonts w:asciiTheme="minorEastAsia" w:eastAsiaTheme="minorEastAsia" w:hAnsiTheme="minorEastAsia" w:cs="Times New Roman"/>
          <w:szCs w:val="24"/>
        </w:rPr>
      </w:pPr>
    </w:p>
    <w:p w:rsidR="00F73626" w:rsidRPr="00565A5C" w:rsidRDefault="00F73626" w:rsidP="00F73626">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4"/>
        <w:gridCol w:w="283"/>
        <w:gridCol w:w="567"/>
        <w:gridCol w:w="1134"/>
        <w:gridCol w:w="628"/>
        <w:gridCol w:w="506"/>
        <w:gridCol w:w="993"/>
        <w:gridCol w:w="141"/>
        <w:gridCol w:w="1134"/>
        <w:gridCol w:w="1134"/>
        <w:gridCol w:w="1134"/>
      </w:tblGrid>
      <w:tr w:rsidR="00565A5C" w:rsidRPr="00565A5C" w:rsidTr="006C4914">
        <w:tc>
          <w:tcPr>
            <w:tcW w:w="1134" w:type="dxa"/>
            <w:tcBorders>
              <w:top w:val="single" w:sz="18" w:space="0" w:color="auto"/>
              <w:lef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134" w:type="dxa"/>
            <w:gridSpan w:val="3"/>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134" w:type="dxa"/>
            <w:gridSpan w:val="2"/>
            <w:tcBorders>
              <w:top w:val="single" w:sz="18" w:space="0" w:color="auto"/>
            </w:tcBorders>
          </w:tcPr>
          <w:p w:rsidR="00F73626"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6135BC"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134" w:type="dxa"/>
            <w:gridSpan w:val="2"/>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6C4914">
        <w:tc>
          <w:tcPr>
            <w:tcW w:w="1134" w:type="dxa"/>
            <w:tcBorders>
              <w:left w:val="single" w:sz="18"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134" w:type="dxa"/>
            <w:gridSpan w:val="3"/>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p>
        </w:tc>
      </w:tr>
      <w:tr w:rsidR="00565A5C" w:rsidRPr="00565A5C" w:rsidTr="006C4914">
        <w:tc>
          <w:tcPr>
            <w:tcW w:w="1418" w:type="dxa"/>
            <w:gridSpan w:val="2"/>
            <w:tcBorders>
              <w:top w:val="single" w:sz="12" w:space="0" w:color="auto"/>
              <w:left w:val="single" w:sz="18"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発生日時</w:t>
            </w:r>
          </w:p>
        </w:tc>
        <w:tc>
          <w:tcPr>
            <w:tcW w:w="2612" w:type="dxa"/>
            <w:gridSpan w:val="4"/>
            <w:tcBorders>
              <w:top w:val="single" w:sz="12"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499" w:type="dxa"/>
            <w:gridSpan w:val="2"/>
            <w:tcBorders>
              <w:top w:val="single" w:sz="12"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復旧日時</w:t>
            </w:r>
          </w:p>
        </w:tc>
        <w:tc>
          <w:tcPr>
            <w:tcW w:w="3543" w:type="dxa"/>
            <w:gridSpan w:val="4"/>
            <w:tcBorders>
              <w:top w:val="single" w:sz="12" w:space="0" w:color="auto"/>
              <w:bottom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tc>
      </w:tr>
      <w:tr w:rsidR="00565A5C" w:rsidRPr="00565A5C" w:rsidTr="006C4914">
        <w:tc>
          <w:tcPr>
            <w:tcW w:w="4030" w:type="dxa"/>
            <w:gridSpan w:val="6"/>
            <w:tcBorders>
              <w:top w:val="single" w:sz="12" w:space="0" w:color="auto"/>
              <w:left w:val="single" w:sz="18" w:space="0" w:color="auto"/>
              <w:bottom w:val="single" w:sz="12" w:space="0" w:color="auto"/>
            </w:tcBorders>
          </w:tcPr>
          <w:p w:rsidR="00F73626" w:rsidRPr="00565A5C" w:rsidRDefault="00F73626" w:rsidP="006C4914">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rsidR="00F73626" w:rsidRPr="00565A5C" w:rsidRDefault="00F73626" w:rsidP="006C4914">
            <w:pPr>
              <w:jc w:val="left"/>
              <w:rPr>
                <w:rFonts w:asciiTheme="minorEastAsia" w:eastAsiaTheme="minorEastAsia" w:hAnsiTheme="minorEastAsia" w:cs="Times New Roman"/>
                <w:szCs w:val="24"/>
              </w:rPr>
            </w:pPr>
          </w:p>
        </w:tc>
      </w:tr>
      <w:tr w:rsidR="00565A5C" w:rsidRPr="00565A5C" w:rsidTr="006C4914">
        <w:tc>
          <w:tcPr>
            <w:tcW w:w="1701" w:type="dxa"/>
            <w:gridSpan w:val="3"/>
            <w:tcBorders>
              <w:top w:val="single" w:sz="12" w:space="0" w:color="auto"/>
              <w:left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事故の状況</w:t>
            </w:r>
          </w:p>
        </w:tc>
        <w:tc>
          <w:tcPr>
            <w:tcW w:w="7371" w:type="dxa"/>
            <w:gridSpan w:val="9"/>
            <w:tcBorders>
              <w:top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r w:rsidR="00F73626" w:rsidRPr="00565A5C" w:rsidTr="006C4914">
        <w:tc>
          <w:tcPr>
            <w:tcW w:w="1701" w:type="dxa"/>
            <w:gridSpan w:val="3"/>
            <w:tcBorders>
              <w:left w:val="single" w:sz="18" w:space="0" w:color="auto"/>
              <w:bottom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講じた措置</w:t>
            </w:r>
          </w:p>
        </w:tc>
        <w:tc>
          <w:tcPr>
            <w:tcW w:w="7371" w:type="dxa"/>
            <w:gridSpan w:val="9"/>
            <w:tcBorders>
              <w:bottom w:val="single" w:sz="18"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bl>
    <w:p w:rsidR="00F73626" w:rsidRPr="00565A5C" w:rsidRDefault="00F73626" w:rsidP="00F73626">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65A5C" w:rsidRPr="00565A5C" w:rsidTr="00CB3623">
        <w:tc>
          <w:tcPr>
            <w:tcW w:w="9072" w:type="dxa"/>
            <w:tcBorders>
              <w:top w:val="single" w:sz="18" w:space="0" w:color="auto"/>
              <w:left w:val="single" w:sz="18" w:space="0" w:color="auto"/>
              <w:bottom w:val="single" w:sz="18" w:space="0" w:color="auto"/>
              <w:right w:val="single" w:sz="18" w:space="0" w:color="auto"/>
            </w:tcBorders>
          </w:tcPr>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8C41DE" w:rsidRP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58746D" w:rsidRPr="00417FCE" w:rsidRDefault="0058746D" w:rsidP="0058746D">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58746D" w:rsidRDefault="0058746D" w:rsidP="00F73626">
      <w:pPr>
        <w:widowControl/>
        <w:ind w:leftChars="11" w:left="979" w:hangingChars="397" w:hanging="953"/>
        <w:rPr>
          <w:rFonts w:asciiTheme="minorEastAsia" w:eastAsiaTheme="minorEastAsia" w:hAnsiTheme="minorEastAsia" w:cs="ＭＳ....."/>
          <w:kern w:val="0"/>
          <w:szCs w:val="24"/>
        </w:rPr>
      </w:pPr>
    </w:p>
    <w:p w:rsidR="00F73626" w:rsidRPr="00565A5C" w:rsidRDefault="00F73626" w:rsidP="00F73626">
      <w:pPr>
        <w:widowControl/>
        <w:ind w:leftChars="11" w:left="979" w:hangingChars="397" w:hanging="95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使用状態の欄には、設置している場合は「設置」と、予備として有している場合は「予備」と記載すること。</w:t>
      </w:r>
    </w:p>
    <w:p w:rsidR="00F73626" w:rsidRPr="00565A5C" w:rsidRDefault="00F73626" w:rsidP="00F73626">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２　</w:t>
      </w:r>
      <w:r w:rsidR="005810B9">
        <w:rPr>
          <w:rFonts w:asciiTheme="minorEastAsia" w:eastAsiaTheme="minorEastAsia" w:hAnsiTheme="minorEastAsia" w:cs="ＭＳ....." w:hint="eastAsia"/>
          <w:kern w:val="0"/>
          <w:szCs w:val="24"/>
        </w:rPr>
        <w:t>この</w:t>
      </w:r>
      <w:r w:rsidRPr="00565A5C">
        <w:rPr>
          <w:rFonts w:asciiTheme="minorEastAsia" w:eastAsiaTheme="minorEastAsia" w:hAnsiTheme="minorEastAsia" w:cs="ＭＳ....." w:hint="eastAsia"/>
          <w:kern w:val="0"/>
          <w:szCs w:val="24"/>
        </w:rPr>
        <w:t>用紙の大きさは、</w:t>
      </w:r>
      <w:r w:rsidR="009356CD">
        <w:rPr>
          <w:rFonts w:asciiTheme="minorEastAsia" w:eastAsiaTheme="minorEastAsia" w:hAnsiTheme="minorEastAsia" w:cs="ＭＳ....." w:hint="eastAsia"/>
          <w:kern w:val="0"/>
          <w:szCs w:val="24"/>
        </w:rPr>
        <w:t>日本産業規格</w:t>
      </w:r>
      <w:r w:rsidRPr="00565A5C">
        <w:rPr>
          <w:rFonts w:asciiTheme="minorEastAsia" w:eastAsiaTheme="minorEastAsia" w:hAnsiTheme="minorEastAsia" w:cs="ＭＳ....." w:hint="eastAsia"/>
          <w:kern w:val="0"/>
          <w:szCs w:val="24"/>
        </w:rPr>
        <w:t>Ａ４とすること。</w:t>
      </w:r>
    </w:p>
    <w:p w:rsidR="0094334A" w:rsidRDefault="0094334A" w:rsidP="0094334A">
      <w:pPr>
        <w:rPr>
          <w:rFonts w:asciiTheme="minorEastAsia" w:eastAsiaTheme="minorEastAsia" w:hAnsiTheme="minorEastAsia" w:cs="ＭＳ....."/>
          <w:kern w:val="0"/>
          <w:szCs w:val="24"/>
        </w:rPr>
      </w:pPr>
      <w:bookmarkStart w:id="0" w:name="_GoBack"/>
      <w:bookmarkEnd w:id="0"/>
    </w:p>
    <w:p w:rsidR="0094334A" w:rsidRDefault="0094334A" w:rsidP="0094334A">
      <w:pPr>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(7)  整流器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(8)  開閉器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(9)  遮断器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(11) 避雷器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94334A" w:rsidRPr="00553F4F" w:rsidRDefault="0094334A" w:rsidP="0094334A">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(24) その他</w:t>
      </w:r>
    </w:p>
    <w:p w:rsidR="0094334A" w:rsidRPr="0094334A" w:rsidRDefault="0094334A" w:rsidP="0094334A">
      <w:pPr>
        <w:ind w:leftChars="337" w:left="1092" w:hangingChars="118" w:hanging="283"/>
        <w:rPr>
          <w:rFonts w:hAnsi="ＭＳ 明朝" w:cs="Times New Roman"/>
          <w:szCs w:val="24"/>
        </w:rPr>
      </w:pPr>
      <w:r w:rsidRPr="0094334A">
        <w:rPr>
          <w:rFonts w:hAnsi="ＭＳ 明朝" w:cs="Times New Roman" w:hint="eastAsia"/>
          <w:szCs w:val="24"/>
        </w:rPr>
        <w:t>二　ポリ塩化ビフェニルの含有濃度の欄には、別表に掲げたものに一致する高濃度ポリ塩化</w:t>
      </w:r>
      <w:r>
        <w:rPr>
          <w:rFonts w:hAnsi="ＭＳ 明朝" w:cs="Times New Roman" w:hint="eastAsia"/>
          <w:szCs w:val="24"/>
        </w:rPr>
        <w:t>ビフェニル含有電気工作物</w:t>
      </w:r>
      <w:r w:rsidRPr="0094334A">
        <w:rPr>
          <w:rFonts w:hAnsi="ＭＳ 明朝" w:cs="Times New Roman" w:hint="eastAsia"/>
          <w:szCs w:val="24"/>
        </w:rPr>
        <w:t>に該当する場合にあっ</w:t>
      </w:r>
      <w:r>
        <w:rPr>
          <w:rFonts w:hAnsi="ＭＳ 明朝" w:cs="Times New Roman" w:hint="eastAsia"/>
          <w:szCs w:val="24"/>
        </w:rPr>
        <w:t>ては「高濃度」と記載し、低濃度ポリ塩化ビフェニル含有電気工作物</w:t>
      </w:r>
      <w:r w:rsidRPr="0094334A">
        <w:rPr>
          <w:rFonts w:hAnsi="ＭＳ 明朝" w:cs="Times New Roman" w:hint="eastAsia"/>
          <w:szCs w:val="24"/>
        </w:rPr>
        <w:t>にあっては絶縁油で測定した濃度を記載すること。</w:t>
      </w:r>
    </w:p>
    <w:p w:rsidR="0094334A" w:rsidRPr="0094334A" w:rsidRDefault="0094334A" w:rsidP="0094334A">
      <w:pPr>
        <w:rPr>
          <w:rFonts w:asciiTheme="minorEastAsia" w:eastAsiaTheme="minorEastAsia" w:hAnsiTheme="minorEastAsia" w:cs="ＭＳ....."/>
          <w:kern w:val="0"/>
          <w:szCs w:val="24"/>
        </w:rPr>
      </w:pPr>
    </w:p>
    <w:p w:rsidR="00CB3623" w:rsidRPr="00565A5C" w:rsidRDefault="00CB3623" w:rsidP="00F73626">
      <w:pPr>
        <w:ind w:leftChars="295" w:left="991" w:hangingChars="118" w:hanging="283"/>
        <w:rPr>
          <w:rFonts w:asciiTheme="minorEastAsia" w:eastAsiaTheme="minorEastAsia" w:hAnsiTheme="minorEastAsia" w:cs="ＭＳ....."/>
          <w:kern w:val="0"/>
          <w:szCs w:val="24"/>
        </w:rPr>
      </w:pPr>
      <w:r w:rsidRPr="00565A5C">
        <w:rPr>
          <w:rFonts w:asciiTheme="minorEastAsia" w:eastAsiaTheme="minorEastAsia" w:hAnsiTheme="minorEastAsia" w:cs="Times New Roman"/>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55" w:rsidRDefault="00D616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10B9"/>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7F4F"/>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356CD"/>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B19A9"/>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1655"/>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E8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9310-8272-4A9D-ACF5-5A6D1E53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681</Words>
  <Characters>3888</Characters>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2017-01-17T09:11:00Z</dcterms:created>
  <dcterms:modified xsi:type="dcterms:W3CDTF">2020-12-28T07:18:00Z</dcterms:modified>
</cp:coreProperties>
</file>